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lang w:val="en-US" w:eastAsia="zh-CN"/>
        </w:rPr>
        <w:t>山东蒙阴齐丰村镇银行股份有限公司</w:t>
      </w:r>
    </w:p>
    <w:p>
      <w:pPr>
        <w:spacing w:line="700" w:lineRule="exact"/>
        <w:jc w:val="center"/>
        <w:rPr>
          <w:rFonts w:hint="default"/>
          <w:sz w:val="32"/>
          <w:szCs w:val="40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lang w:val="en-US" w:eastAsia="zh-CN"/>
        </w:rPr>
        <w:t>2022年二季度一般关联交易情况披露</w:t>
      </w:r>
    </w:p>
    <w:p>
      <w:pPr>
        <w:widowControl/>
        <w:spacing w:line="640" w:lineRule="exact"/>
        <w:ind w:firstLine="640" w:firstLineChars="200"/>
        <w:jc w:val="both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</w:p>
    <w:p>
      <w:pPr>
        <w:widowControl/>
        <w:spacing w:line="640" w:lineRule="exact"/>
        <w:ind w:firstLine="640" w:firstLineChars="200"/>
        <w:jc w:val="both"/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根据《银行保险机构关联交易管理办法》（银保监会令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  <w:t>〔2022〕1号）和《山东蒙阴齐丰村镇银行股份有限公司关联交易管理办法》文件规定要求，现将山东蒙阴齐丰村镇银行股份有限公司2022年二季度关联交易情况披露如下：</w:t>
      </w:r>
    </w:p>
    <w:p>
      <w:pPr>
        <w:widowControl/>
        <w:spacing w:line="640" w:lineRule="exact"/>
        <w:ind w:firstLine="640" w:firstLineChars="200"/>
        <w:jc w:val="both"/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  <w:t>截至2022年6月30日，本行一般关联交易24笔，关联交易贷款余额382.18万元，均为授信类关联交易。本行关联交易单笔及合计均在监管规定比例范围内。</w:t>
      </w:r>
    </w:p>
    <w:p>
      <w:pPr>
        <w:widowControl/>
        <w:spacing w:line="640" w:lineRule="exact"/>
        <w:ind w:firstLine="640" w:firstLineChars="200"/>
        <w:jc w:val="both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</w:p>
    <w:p>
      <w:pPr>
        <w:widowControl/>
        <w:spacing w:line="640" w:lineRule="exact"/>
        <w:ind w:firstLine="640" w:firstLineChars="200"/>
        <w:jc w:val="both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</w:p>
    <w:p>
      <w:pPr>
        <w:widowControl/>
        <w:spacing w:line="640" w:lineRule="exact"/>
        <w:ind w:firstLine="640" w:firstLineChars="200"/>
        <w:jc w:val="both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</w:p>
    <w:p>
      <w:pPr>
        <w:widowControl/>
        <w:spacing w:line="640" w:lineRule="exact"/>
        <w:ind w:firstLine="640" w:firstLineChars="200"/>
        <w:jc w:val="both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</w:p>
    <w:p>
      <w:pPr>
        <w:widowControl/>
        <w:spacing w:line="640" w:lineRule="exact"/>
        <w:ind w:firstLine="640" w:firstLineChars="200"/>
        <w:jc w:val="both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</w:p>
    <w:p>
      <w:pPr>
        <w:widowControl/>
        <w:spacing w:line="640" w:lineRule="exact"/>
        <w:ind w:firstLine="640" w:firstLineChars="200"/>
        <w:jc w:val="both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</w:p>
    <w:p>
      <w:pPr>
        <w:widowControl/>
        <w:spacing w:line="640" w:lineRule="exact"/>
        <w:ind w:firstLine="640" w:firstLineChars="200"/>
        <w:jc w:val="both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             山东蒙阴齐丰村镇银行股份有限公司</w:t>
      </w:r>
    </w:p>
    <w:p>
      <w:pPr>
        <w:widowControl/>
        <w:spacing w:line="640" w:lineRule="exact"/>
        <w:ind w:firstLine="640" w:firstLineChars="200"/>
        <w:jc w:val="both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                      2022年6</w:t>
      </w:r>
      <w:bookmarkStart w:id="0" w:name="_GoBack"/>
      <w:bookmarkEnd w:id="0"/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9722C"/>
    <w:rsid w:val="1EBA0C20"/>
    <w:rsid w:val="247B7D88"/>
    <w:rsid w:val="27132B0A"/>
    <w:rsid w:val="2EEC732B"/>
    <w:rsid w:val="328A4F9E"/>
    <w:rsid w:val="328E15AB"/>
    <w:rsid w:val="349B7943"/>
    <w:rsid w:val="37B74A5E"/>
    <w:rsid w:val="3D682FD8"/>
    <w:rsid w:val="3E7D45C7"/>
    <w:rsid w:val="3F302C90"/>
    <w:rsid w:val="412131D1"/>
    <w:rsid w:val="46C84FA5"/>
    <w:rsid w:val="49A86237"/>
    <w:rsid w:val="4A5C1D49"/>
    <w:rsid w:val="563408BD"/>
    <w:rsid w:val="64873FE8"/>
    <w:rsid w:val="68C03156"/>
    <w:rsid w:val="6F2160B3"/>
    <w:rsid w:val="76173AD7"/>
    <w:rsid w:val="7C6D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2022-05-24T02:20:00Z</dcterms:created>
  <dc:creator>Administrator</dc:creator>
  <cp:lastModifiedBy>Administrator</cp:lastModifiedBy>
  <dcterms:modified xsi:type="dcterms:W3CDTF">2022-08-18T08:22:56Z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3057D1C1F3FB4418AA1240ABE1596178</vt:lpwstr>
  </property>
</Properties>
</file>