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val="en-US" w:eastAsia="zh-CN"/>
        </w:rPr>
        <w:t>山东蒙阴齐丰村镇银行股份有限公司</w:t>
      </w:r>
    </w:p>
    <w:p>
      <w:pPr>
        <w:spacing w:line="700" w:lineRule="exact"/>
        <w:jc w:val="center"/>
        <w:rPr>
          <w:rFonts w:hint="default"/>
          <w:sz w:val="32"/>
          <w:szCs w:val="40"/>
          <w:lang w:val="en-US" w:eastAsia="zh-CN"/>
        </w:rPr>
      </w:pPr>
      <w:r>
        <w:rPr>
          <w:rFonts w:hint="eastAsia" w:ascii="方正小标宋简体" w:hAnsi="Times New Roman" w:eastAsia="方正小标宋简体" w:cs="Times New Roman"/>
          <w:color w:val="auto"/>
          <w:sz w:val="44"/>
          <w:szCs w:val="44"/>
          <w:lang w:val="en-US" w:eastAsia="zh-CN"/>
        </w:rPr>
        <w:t>2024年二季度重大关联交易情况披露</w:t>
      </w:r>
    </w:p>
    <w:p>
      <w:pPr>
        <w:widowControl/>
        <w:spacing w:line="640" w:lineRule="exact"/>
        <w:ind w:firstLine="640" w:firstLineChars="200"/>
        <w:jc w:val="both"/>
        <w:rPr>
          <w:rFonts w:hint="eastAsia" w:ascii="仿宋_GB2312" w:hAnsi="宋体" w:eastAsia="仿宋_GB2312" w:cs="Times New Roman"/>
          <w:sz w:val="32"/>
          <w:szCs w:val="32"/>
          <w:lang w:val="en-US" w:eastAsia="zh-CN"/>
        </w:rPr>
      </w:pPr>
    </w:p>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lang w:val="en-US" w:eastAsia="zh-CN"/>
        </w:rPr>
        <w:t>根据《银行保险机构关联交易管理办法》（银保监会令</w:t>
      </w:r>
      <w:r>
        <w:rPr>
          <w:rFonts w:hint="eastAsia" w:ascii="仿宋_GB2312" w:hAnsi="宋体" w:eastAsia="仿宋_GB2312" w:cs="Times New Roman"/>
          <w:sz w:val="32"/>
          <w:szCs w:val="32"/>
          <w:highlight w:val="none"/>
          <w:lang w:val="en-US" w:eastAsia="zh-CN"/>
        </w:rPr>
        <w:t>〔2022〕1号）和《山东蒙阴齐丰村镇银行股份有限公司关联交易管理办法》文件规定要求，现将山东蒙阴齐丰村镇银行股份有限公司2024年二季度重大关联交易情况披露如下：</w:t>
      </w:r>
    </w:p>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截至2024年6月30日，本行重大关联交易</w:t>
      </w:r>
      <w:r>
        <w:rPr>
          <w:rFonts w:hint="eastAsia" w:ascii="仿宋_GB2312" w:hAnsi="宋体" w:eastAsia="仿宋_GB2312" w:cs="Times New Roman"/>
          <w:color w:val="FF0000"/>
          <w:sz w:val="32"/>
          <w:szCs w:val="32"/>
          <w:highlight w:val="none"/>
          <w:lang w:val="en-US" w:eastAsia="zh-CN"/>
        </w:rPr>
        <w:t>13笔，关联交易贷款余额578.97万元</w:t>
      </w:r>
      <w:r>
        <w:rPr>
          <w:rFonts w:hint="eastAsia" w:ascii="仿宋_GB2312" w:hAnsi="宋体" w:eastAsia="仿宋_GB2312" w:cs="Times New Roman"/>
          <w:sz w:val="32"/>
          <w:szCs w:val="32"/>
          <w:highlight w:val="none"/>
          <w:lang w:val="en-US" w:eastAsia="zh-CN"/>
        </w:rPr>
        <w:t>，均为授信类关联交易。本行关联交易单笔及合计均在监管规定比例范围内。现逐笔披露重大关联交易余额情况：</w:t>
      </w:r>
    </w:p>
    <w:p>
      <w:pPr>
        <w:widowControl/>
        <w:spacing w:line="640" w:lineRule="exact"/>
        <w:ind w:firstLine="1600" w:firstLineChars="5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2024年二季度重大关联交易情况</w:t>
      </w:r>
    </w:p>
    <w:p>
      <w:pPr>
        <w:widowControl/>
        <w:spacing w:line="640" w:lineRule="exact"/>
        <w:ind w:firstLine="640" w:firstLineChars="200"/>
        <w:jc w:val="both"/>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 xml:space="preserve">                             </w:t>
      </w:r>
      <w:r>
        <w:rPr>
          <w:rFonts w:hint="eastAsia" w:ascii="仿宋_GB2312" w:hAnsi="宋体" w:eastAsia="仿宋_GB2312" w:cs="Times New Roman"/>
          <w:sz w:val="24"/>
          <w:szCs w:val="24"/>
          <w:highlight w:val="none"/>
          <w:lang w:val="en-US" w:eastAsia="zh-CN"/>
        </w:rPr>
        <w:t xml:space="preserve">  金额：万元  利率：%</w:t>
      </w:r>
    </w:p>
    <w:tbl>
      <w:tblPr>
        <w:tblStyle w:val="3"/>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5"/>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关联方名称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发生金额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贷款余额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发放日期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到期日期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240" w:firstLineChars="10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担保方式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关联交易类型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徐莉</w:t>
            </w:r>
          </w:p>
        </w:tc>
        <w:tc>
          <w:tcPr>
            <w:tcW w:w="108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20240613</w:t>
            </w:r>
          </w:p>
        </w:tc>
        <w:tc>
          <w:tcPr>
            <w:tcW w:w="10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20250612</w:t>
            </w:r>
          </w:p>
        </w:tc>
        <w:tc>
          <w:tcPr>
            <w:tcW w:w="10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5.50 </w:t>
            </w:r>
          </w:p>
        </w:tc>
        <w:tc>
          <w:tcPr>
            <w:tcW w:w="1080" w:type="dxa"/>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韩光明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14.50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20210906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20260903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8.40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高伟祥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25.50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高伟祥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17.00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20230620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程婷婷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64.31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20531107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4.10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华震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20241228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蒋瑞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朱明东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20250321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张坤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70.00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20290507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6.00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公燕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68.86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20461204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4.00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抵押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李振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59.40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20261225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宋森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29.70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20240103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20281225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5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宋森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9.70 </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20231227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20281225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 xml:space="preserve">3.70 </w:t>
            </w:r>
          </w:p>
        </w:tc>
        <w:tc>
          <w:tcPr>
            <w:tcW w:w="108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Dialog" w:hAnsi="Dialog" w:eastAsia="Dialog" w:cs="Dialog"/>
                <w:i w:val="0"/>
                <w:color w:val="000000"/>
                <w:sz w:val="24"/>
                <w:szCs w:val="24"/>
                <w:u w:val="none"/>
              </w:rPr>
            </w:pPr>
            <w:r>
              <w:rPr>
                <w:rFonts w:hint="default" w:ascii="Dialog" w:hAnsi="Dialog" w:eastAsia="Dialog" w:cs="Dialog"/>
                <w:i w:val="0"/>
                <w:color w:val="000000"/>
                <w:kern w:val="0"/>
                <w:sz w:val="24"/>
                <w:szCs w:val="24"/>
                <w:u w:val="none"/>
                <w:lang w:val="en-US" w:eastAsia="zh-CN" w:bidi="ar"/>
              </w:rPr>
              <w:t>保证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w:t>
            </w:r>
          </w:p>
        </w:tc>
      </w:tr>
    </w:tbl>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sz w:val="32"/>
          <w:szCs w:val="32"/>
          <w:highlight w:val="none"/>
          <w:lang w:val="en-US" w:eastAsia="zh-CN"/>
        </w:rPr>
      </w:pPr>
      <w:r>
        <w:rPr>
          <w:rFonts w:hint="eastAsia" w:ascii="仿宋" w:hAnsi="仿宋" w:eastAsia="仿宋"/>
          <w:sz w:val="30"/>
          <w:szCs w:val="30"/>
          <w:highlight w:val="none"/>
          <w:lang w:val="en-US" w:eastAsia="zh-CN"/>
        </w:rPr>
        <w:t>1、借款人徐莉，47岁，</w:t>
      </w:r>
      <w:r>
        <w:rPr>
          <w:rFonts w:hint="eastAsia" w:ascii="仿宋" w:hAnsi="仿宋" w:eastAsia="仿宋"/>
          <w:sz w:val="30"/>
          <w:szCs w:val="30"/>
          <w:lang w:val="en-US" w:eastAsia="zh-CN"/>
        </w:rPr>
        <w:t>系山东蒙阴齐丰村镇银行股份有限公司董事韩光锋的配偶，贷款用途购进铝合金，授信贷款50万元，授信日期2023年6月21至2026年6月20日，利率5.50%，担保方式为保证，认定为重大关联交易，2023年6月13日发放贷款50万元，贷款余额50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highlight w:val="none"/>
          <w:lang w:val="en-US" w:eastAsia="zh-CN"/>
        </w:rPr>
        <w:t>2、借款人韩光明，52岁，</w:t>
      </w:r>
      <w:r>
        <w:rPr>
          <w:rFonts w:hint="eastAsia" w:ascii="仿宋" w:hAnsi="仿宋" w:eastAsia="仿宋"/>
          <w:sz w:val="30"/>
          <w:szCs w:val="30"/>
          <w:lang w:val="en-US" w:eastAsia="zh-CN"/>
        </w:rPr>
        <w:t>系山东蒙阴齐丰村镇银行股份有限公司股东山东蒙阴晟华建业有限公司的法定贷款人，贷款用途购进水泥砂石，授信贷款60万元，授信日期2021年9月4至2026年9月3日，利率8.40%，担保方式为抵押，认定为重大关联交易，2021年9月6日发放贷款60万元，贷款余额14.50万元。</w:t>
      </w:r>
    </w:p>
    <w:p>
      <w:pPr>
        <w:widowControl/>
        <w:numPr>
          <w:numId w:val="0"/>
        </w:numPr>
        <w:spacing w:line="640" w:lineRule="exact"/>
        <w:ind w:firstLine="640" w:firstLineChars="200"/>
        <w:jc w:val="both"/>
        <w:rPr>
          <w:rFonts w:hint="eastAsia" w:ascii="仿宋" w:hAnsi="仿宋" w:eastAsia="仿宋"/>
          <w:sz w:val="30"/>
          <w:szCs w:val="30"/>
          <w:lang w:val="en-US" w:eastAsia="zh-CN"/>
        </w:rPr>
      </w:pPr>
      <w:r>
        <w:rPr>
          <w:rFonts w:hint="eastAsia" w:ascii="仿宋_GB2312" w:hAnsi="宋体" w:eastAsia="仿宋_GB2312" w:cs="Times New Roman"/>
          <w:sz w:val="32"/>
          <w:szCs w:val="32"/>
          <w:lang w:val="en-US" w:eastAsia="zh-CN"/>
        </w:rPr>
        <w:t>3、借款人高伟祥，</w:t>
      </w:r>
      <w:r>
        <w:rPr>
          <w:rFonts w:hint="eastAsia" w:ascii="仿宋" w:hAnsi="仿宋" w:eastAsia="仿宋"/>
          <w:sz w:val="30"/>
          <w:szCs w:val="30"/>
          <w:lang w:val="en-US" w:eastAsia="zh-CN"/>
        </w:rPr>
        <w:t>系山东蒙阴齐丰村镇银行股份有限公司副行长，贷款用途为购进装修材料及家具家电，授信贷款50万元，利率3.7%，担保方式为保证，认定为重大关联交易，2023年6月20日发放两笔贷款金额分别为20万元、30万元，贷款余额42.50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w:t>
      </w:r>
      <w:r>
        <w:rPr>
          <w:rFonts w:hint="eastAsia" w:ascii="仿宋" w:hAnsi="仿宋" w:eastAsia="仿宋"/>
          <w:sz w:val="30"/>
          <w:szCs w:val="30"/>
          <w:highlight w:val="none"/>
          <w:lang w:val="en-US" w:eastAsia="zh-CN"/>
        </w:rPr>
        <w:t>借款人程婷婷，33岁，</w:t>
      </w:r>
      <w:r>
        <w:rPr>
          <w:rFonts w:hint="eastAsia" w:ascii="仿宋" w:hAnsi="仿宋" w:eastAsia="仿宋"/>
          <w:sz w:val="30"/>
          <w:szCs w:val="30"/>
          <w:lang w:val="en-US" w:eastAsia="zh-CN"/>
        </w:rPr>
        <w:t>系山东蒙阴齐丰村镇银行股份有限公司信贷管理部部门负责人刘生辉的配偶，贷款用途购进住房，授信贷款95万元，授信日期2023年11月8至2053年11月7日，利率4.10%，担保方式为抵押，认定为重大关联交易，2023年11月10日发放贷款95万元，贷款余额64.31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5、借款人华震，</w:t>
      </w:r>
      <w:r>
        <w:rPr>
          <w:rFonts w:hint="eastAsia" w:ascii="仿宋" w:hAnsi="仿宋" w:eastAsia="仿宋"/>
          <w:sz w:val="30"/>
          <w:szCs w:val="30"/>
          <w:highlight w:val="none"/>
          <w:lang w:val="en-US" w:eastAsia="zh-CN"/>
        </w:rPr>
        <w:t>33岁，</w:t>
      </w:r>
      <w:r>
        <w:rPr>
          <w:rFonts w:hint="eastAsia" w:ascii="仿宋" w:hAnsi="仿宋" w:eastAsia="仿宋"/>
          <w:sz w:val="30"/>
          <w:szCs w:val="30"/>
          <w:lang w:val="en-US" w:eastAsia="zh-CN"/>
        </w:rPr>
        <w:t>系山东蒙阴齐丰村镇银行股份有限公司贷后管理部负责人，贷款用途购进装修材料及家具家电，授信贷款60万元，授信日期2023年12月29至2028年12月28日，利率3.7%，担保方式为保证，认定为重大关联交易，2023年12月29日发放贷款60万元，贷款余额60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6、借款人蒋瑞，</w:t>
      </w:r>
      <w:r>
        <w:rPr>
          <w:rFonts w:hint="eastAsia" w:ascii="仿宋" w:hAnsi="仿宋" w:eastAsia="仿宋"/>
          <w:sz w:val="30"/>
          <w:szCs w:val="30"/>
          <w:highlight w:val="none"/>
          <w:lang w:val="en-US" w:eastAsia="zh-CN"/>
        </w:rPr>
        <w:t>33岁，</w:t>
      </w:r>
      <w:r>
        <w:rPr>
          <w:rFonts w:hint="eastAsia" w:ascii="仿宋" w:hAnsi="仿宋" w:eastAsia="仿宋"/>
          <w:sz w:val="30"/>
          <w:szCs w:val="30"/>
          <w:lang w:val="en-US" w:eastAsia="zh-CN"/>
        </w:rPr>
        <w:t>系山东蒙阴齐丰村镇银行股份有限公司蒙阴支行行长，贷款用途购进装修材料及家具家电，授信贷款60万元，授信日期2023年12月26至2026年12月25日，利率3.7%，担保方式为保证，认定为重大关联交易，2024年1月8日发放贷款60万元，贷款余额60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7、借款人朱明东，</w:t>
      </w:r>
      <w:r>
        <w:rPr>
          <w:rFonts w:hint="eastAsia" w:ascii="仿宋" w:hAnsi="仿宋" w:eastAsia="仿宋"/>
          <w:sz w:val="30"/>
          <w:szCs w:val="30"/>
          <w:highlight w:val="none"/>
          <w:lang w:val="en-US" w:eastAsia="zh-CN"/>
        </w:rPr>
        <w:t>34岁，</w:t>
      </w:r>
      <w:r>
        <w:rPr>
          <w:rFonts w:hint="eastAsia" w:ascii="仿宋" w:hAnsi="仿宋" w:eastAsia="仿宋"/>
          <w:sz w:val="30"/>
          <w:szCs w:val="30"/>
          <w:lang w:val="en-US" w:eastAsia="zh-CN"/>
        </w:rPr>
        <w:t>系山东蒙阴齐丰村镇银行股份有限公司坦埠支行支行行长，贷款用途购进装饰材料及家具家电，授信贷款50万元，授信日期2024年3月21至2027年3月20日，利率3.7%，担保方式为保证，认定为重大关联交易，2024年3月22日发放贷款50万元，贷款余额50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8、借款人张坤，36岁，系山东蒙阴齐丰村镇银行股份有限公司股东山东蒙阴晟华建业有限公司的执行董事，贷款用途购进瓷砖，授信贷款70万元，授信日期2024年5月8至2029年5月7日，利率6.00%，担保方式为抵押，认定为重大关联交易，2024年5月8日发放贷款70万元，贷款余额70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9、</w:t>
      </w:r>
      <w:r>
        <w:rPr>
          <w:rFonts w:hint="eastAsia" w:ascii="仿宋" w:hAnsi="仿宋" w:eastAsia="仿宋"/>
          <w:sz w:val="30"/>
          <w:szCs w:val="30"/>
          <w:highlight w:val="none"/>
          <w:lang w:val="en-US" w:eastAsia="zh-CN"/>
        </w:rPr>
        <w:t>借款人公燕，36岁，</w:t>
      </w:r>
      <w:r>
        <w:rPr>
          <w:rFonts w:hint="eastAsia" w:ascii="仿宋" w:hAnsi="仿宋" w:eastAsia="仿宋"/>
          <w:sz w:val="30"/>
          <w:szCs w:val="30"/>
          <w:lang w:val="en-US" w:eastAsia="zh-CN"/>
        </w:rPr>
        <w:t>系山东蒙阴齐丰村镇银行股份有限公司垛庄支行行长，贷款用途购买住房，授信贷款69.80万元，授信日期2023年12月5至2046年12月4日，利率4.00%，担保方式为抵押，认定为重大关联交易，2023年12月6日发放贷款69.80万元，贷款余额59.40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10、借款人李振，</w:t>
      </w:r>
      <w:r>
        <w:rPr>
          <w:rFonts w:hint="eastAsia" w:ascii="仿宋" w:hAnsi="仿宋" w:eastAsia="仿宋"/>
          <w:sz w:val="30"/>
          <w:szCs w:val="30"/>
          <w:highlight w:val="none"/>
          <w:lang w:val="en-US" w:eastAsia="zh-CN"/>
        </w:rPr>
        <w:t>36岁，系</w:t>
      </w:r>
      <w:r>
        <w:rPr>
          <w:rFonts w:hint="eastAsia" w:ascii="仿宋" w:hAnsi="仿宋" w:eastAsia="仿宋"/>
          <w:sz w:val="30"/>
          <w:szCs w:val="30"/>
          <w:lang w:val="en-US" w:eastAsia="zh-CN"/>
        </w:rPr>
        <w:t>山东蒙阴齐丰村镇银行股份有限公司常路支行支行行长，贷款用途购进装修材料及家具家电，授信贷款60万元，授信日期2023年12月26至2026年12月25日，利率：3.70%，担保方式为保证，认定为重大关联交易，2023年12月28日发放贷款60万元，贷款余额60万元。</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11、借款人宋森，41岁，系山东蒙阴齐丰村镇银行股份有限公司董事、行长，贷款用途购进装修材料及家具，授信贷款80万元，授信日期2023年12月26至2028年12月25日，利率3.7%，担保方式为保证，认定为重大关联交易。</w:t>
      </w:r>
    </w:p>
    <w:p>
      <w:pPr>
        <w:spacing w:line="560" w:lineRule="exact"/>
        <w:ind w:firstLine="600" w:firstLineChars="200"/>
        <w:rPr>
          <w:rFonts w:hint="eastAsia" w:ascii="仿宋" w:hAnsi="仿宋" w:eastAsia="仿宋"/>
          <w:sz w:val="30"/>
          <w:szCs w:val="30"/>
          <w:lang w:eastAsia="zh-CN"/>
        </w:rPr>
      </w:pPr>
      <w:r>
        <w:rPr>
          <w:rFonts w:hint="eastAsia" w:ascii="仿宋" w:hAnsi="仿宋" w:eastAsia="仿宋"/>
          <w:sz w:val="30"/>
          <w:szCs w:val="30"/>
          <w:lang w:val="en-US" w:eastAsia="zh-CN"/>
        </w:rPr>
        <w:t>以上</w:t>
      </w:r>
      <w:r>
        <w:rPr>
          <w:rFonts w:hint="eastAsia" w:ascii="仿宋" w:hAnsi="仿宋" w:eastAsia="仿宋"/>
          <w:sz w:val="30"/>
          <w:szCs w:val="30"/>
          <w:lang w:eastAsia="zh-CN"/>
        </w:rPr>
        <w:t>贷款形态全部正常，资产质量较好。我行认真履行重大关联交易审议审批和信息披露义务，严守合规底线，开展的各类关联交易坚持遵循诚实信用及公允原则，按照商业原则以不优于非关联方同类交易的条件进行，确保股东和存款人利益不受损害。</w:t>
      </w:r>
    </w:p>
    <w:p>
      <w:pPr>
        <w:spacing w:line="560" w:lineRule="exact"/>
        <w:ind w:firstLine="600" w:firstLineChars="200"/>
        <w:rPr>
          <w:rFonts w:hint="eastAsia" w:ascii="仿宋" w:hAnsi="仿宋" w:eastAsia="仿宋"/>
          <w:sz w:val="30"/>
          <w:szCs w:val="30"/>
          <w:lang w:eastAsia="zh-CN"/>
        </w:rPr>
      </w:pPr>
    </w:p>
    <w:p>
      <w:pPr>
        <w:spacing w:line="560" w:lineRule="exact"/>
        <w:ind w:firstLine="600" w:firstLineChars="200"/>
        <w:rPr>
          <w:rFonts w:hint="eastAsia" w:ascii="仿宋" w:hAnsi="仿宋" w:eastAsia="仿宋"/>
          <w:sz w:val="30"/>
          <w:szCs w:val="30"/>
          <w:lang w:eastAsia="zh-CN"/>
        </w:rPr>
      </w:pPr>
    </w:p>
    <w:p>
      <w:pPr>
        <w:spacing w:line="560" w:lineRule="exact"/>
        <w:ind w:firstLine="600" w:firstLineChars="200"/>
        <w:rPr>
          <w:rFonts w:hint="eastAsia" w:ascii="仿宋" w:hAnsi="仿宋" w:eastAsia="仿宋"/>
          <w:sz w:val="30"/>
          <w:szCs w:val="30"/>
          <w:lang w:eastAsia="zh-CN"/>
        </w:rPr>
      </w:pPr>
    </w:p>
    <w:p>
      <w:pPr>
        <w:spacing w:line="560" w:lineRule="exact"/>
        <w:ind w:firstLine="600" w:firstLineChars="200"/>
        <w:rPr>
          <w:rFonts w:hint="eastAsia" w:ascii="仿宋" w:hAnsi="仿宋" w:eastAsia="仿宋"/>
          <w:sz w:val="30"/>
          <w:szCs w:val="30"/>
          <w:lang w:eastAsia="zh-CN"/>
        </w:rPr>
      </w:pPr>
      <w:bookmarkStart w:id="0" w:name="_GoBack"/>
      <w:bookmarkEnd w:id="0"/>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山东蒙阴齐丰村镇银行股份有限公司</w:t>
      </w:r>
    </w:p>
    <w:p>
      <w:pPr>
        <w:keepNext w:val="0"/>
        <w:keepLines w:val="0"/>
        <w:pageBreakBefore w:val="0"/>
        <w:widowControl w:val="0"/>
        <w:numPr>
          <w:ilvl w:val="0"/>
          <w:numId w:val="0"/>
        </w:numPr>
        <w:tabs>
          <w:tab w:val="left" w:pos="24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2024年7月15日</w:t>
      </w:r>
    </w:p>
    <w:p>
      <w:pPr>
        <w:widowControl/>
        <w:spacing w:line="640" w:lineRule="exact"/>
        <w:jc w:val="both"/>
        <w:rPr>
          <w:rFonts w:hint="default" w:ascii="仿宋_GB2312" w:hAnsi="宋体"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Dialog">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30A84"/>
    <w:rsid w:val="03836FE7"/>
    <w:rsid w:val="0453634F"/>
    <w:rsid w:val="0555090F"/>
    <w:rsid w:val="06A256E9"/>
    <w:rsid w:val="0B7B224B"/>
    <w:rsid w:val="0D59722C"/>
    <w:rsid w:val="0E2C4845"/>
    <w:rsid w:val="110C6DC6"/>
    <w:rsid w:val="1D8C78B3"/>
    <w:rsid w:val="1EBA0C20"/>
    <w:rsid w:val="1F07565C"/>
    <w:rsid w:val="1F927E3D"/>
    <w:rsid w:val="247B7D88"/>
    <w:rsid w:val="24D21EF7"/>
    <w:rsid w:val="26643DAE"/>
    <w:rsid w:val="27132B0A"/>
    <w:rsid w:val="2A2D7E19"/>
    <w:rsid w:val="2B8F2F30"/>
    <w:rsid w:val="2C98500B"/>
    <w:rsid w:val="2CAA5661"/>
    <w:rsid w:val="2D937C29"/>
    <w:rsid w:val="2DE7009E"/>
    <w:rsid w:val="2EB536E9"/>
    <w:rsid w:val="2EC37AB2"/>
    <w:rsid w:val="2EEC732B"/>
    <w:rsid w:val="303C4FB5"/>
    <w:rsid w:val="328A4F9E"/>
    <w:rsid w:val="328E15AB"/>
    <w:rsid w:val="33E31EA2"/>
    <w:rsid w:val="349B7943"/>
    <w:rsid w:val="36560A04"/>
    <w:rsid w:val="37443397"/>
    <w:rsid w:val="37B74A5E"/>
    <w:rsid w:val="39553BF4"/>
    <w:rsid w:val="39575E93"/>
    <w:rsid w:val="3BEE2EEE"/>
    <w:rsid w:val="3D682FD8"/>
    <w:rsid w:val="3E7D45C7"/>
    <w:rsid w:val="3F302C90"/>
    <w:rsid w:val="3F4A7DF2"/>
    <w:rsid w:val="412131D1"/>
    <w:rsid w:val="41857CA7"/>
    <w:rsid w:val="426E0250"/>
    <w:rsid w:val="434E6307"/>
    <w:rsid w:val="439755EA"/>
    <w:rsid w:val="441D17E4"/>
    <w:rsid w:val="44340A85"/>
    <w:rsid w:val="4539549E"/>
    <w:rsid w:val="453F7DFA"/>
    <w:rsid w:val="46142113"/>
    <w:rsid w:val="46C84FA5"/>
    <w:rsid w:val="47881B33"/>
    <w:rsid w:val="48884DD4"/>
    <w:rsid w:val="48D57A62"/>
    <w:rsid w:val="49A86237"/>
    <w:rsid w:val="4A5C1D49"/>
    <w:rsid w:val="4A90396D"/>
    <w:rsid w:val="4AFB41FB"/>
    <w:rsid w:val="4CAF27C9"/>
    <w:rsid w:val="4FDE117F"/>
    <w:rsid w:val="507B7CCE"/>
    <w:rsid w:val="50D93118"/>
    <w:rsid w:val="531E19FE"/>
    <w:rsid w:val="54754651"/>
    <w:rsid w:val="55CC3553"/>
    <w:rsid w:val="563408BD"/>
    <w:rsid w:val="564C22BD"/>
    <w:rsid w:val="594A4B98"/>
    <w:rsid w:val="5A0E2334"/>
    <w:rsid w:val="5A523801"/>
    <w:rsid w:val="5A557E9A"/>
    <w:rsid w:val="61AE4F23"/>
    <w:rsid w:val="62774809"/>
    <w:rsid w:val="62F6612C"/>
    <w:rsid w:val="647C133C"/>
    <w:rsid w:val="64873FE8"/>
    <w:rsid w:val="66E169A1"/>
    <w:rsid w:val="67002497"/>
    <w:rsid w:val="68C03156"/>
    <w:rsid w:val="6D33275B"/>
    <w:rsid w:val="6D453CC5"/>
    <w:rsid w:val="6D78167A"/>
    <w:rsid w:val="6F2160B3"/>
    <w:rsid w:val="74795783"/>
    <w:rsid w:val="755D1FCE"/>
    <w:rsid w:val="75F2233D"/>
    <w:rsid w:val="76173AD7"/>
    <w:rsid w:val="76654D0D"/>
    <w:rsid w:val="7C6D07EB"/>
    <w:rsid w:val="7CE75244"/>
    <w:rsid w:val="7D2B5668"/>
    <w:rsid w:val="7DE64187"/>
    <w:rsid w:val="7DFE08A2"/>
    <w:rsid w:val="7F3A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2022-05-24T02:20:00Z</dcterms:created>
  <dc:creator>Administrator</dc:creator>
  <cp:lastModifiedBy>Administrator</cp:lastModifiedBy>
  <dcterms:modified xsi:type="dcterms:W3CDTF">2024-07-29T02:04:36Z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3057D1C1F3FB4418AA1240ABE1596178</vt:lpwstr>
  </property>
</Properties>
</file>